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4045" cy="709930"/>
                <wp:effectExtent l="1905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614043" cy="709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35pt;height:55.9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erif" w:hAnsi="Liberation Serif" w:eastAsia="Liberation Serif" w:cs="Liberation Serif"/>
        </w:rPr>
      </w:r>
    </w:p>
    <w:p>
      <w:pPr>
        <w:spacing w:after="0" w:line="240" w:lineRule="auto"/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b/>
          <w:sz w:val="32"/>
        </w:rPr>
        <w:t xml:space="preserve">АДМИНИСТРАЦИЯ</w:t>
      </w:r>
      <w:r>
        <w:rPr>
          <w:rFonts w:ascii="Liberation Serif" w:hAnsi="Liberation Serif" w:eastAsia="Liberation Serif" w:cs="Liberation Serif"/>
        </w:rPr>
      </w:r>
    </w:p>
    <w:p>
      <w:pPr>
        <w:spacing w:after="0"/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b/>
          <w:sz w:val="32"/>
        </w:rPr>
        <w:t xml:space="preserve">ПРИУРАЛЬСК</w:t>
      </w:r>
      <w:r>
        <w:rPr>
          <w:rFonts w:ascii="Liberation Serif" w:hAnsi="Liberation Serif" w:eastAsia="Liberation Serif" w:cs="Liberation Serif"/>
          <w:b/>
          <w:sz w:val="32"/>
        </w:rPr>
        <w:t xml:space="preserve">ОГО РАЙ</w:t>
      </w:r>
      <w:r>
        <w:rPr>
          <w:rFonts w:ascii="Liberation Serif" w:hAnsi="Liberation Serif" w:eastAsia="Liberation Serif" w:cs="Liberation Serif"/>
          <w:b/>
          <w:sz w:val="32"/>
        </w:rPr>
        <w:t xml:space="preserve">ОН</w:t>
      </w:r>
      <w:r>
        <w:rPr>
          <w:rFonts w:ascii="Liberation Serif" w:hAnsi="Liberation Serif" w:eastAsia="Liberation Serif" w:cs="Liberation Serif"/>
          <w:b/>
          <w:sz w:val="32"/>
        </w:rPr>
        <w:t xml:space="preserve">А</w:t>
      </w:r>
      <w:r>
        <w:rPr>
          <w:rFonts w:ascii="Liberation Serif" w:hAnsi="Liberation Serif" w:eastAsia="Liberation Serif" w:cs="Liberation Serif"/>
        </w:rPr>
      </w:r>
    </w:p>
    <w:p>
      <w:pPr>
        <w:spacing w:after="0"/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b/>
          <w:sz w:val="24"/>
        </w:rPr>
      </w:r>
      <w:r>
        <w:rPr>
          <w:rFonts w:ascii="Liberation Serif" w:hAnsi="Liberation Serif" w:eastAsia="Liberation Serif" w:cs="Liberation Serif"/>
        </w:rPr>
      </w:r>
    </w:p>
    <w:p>
      <w:pPr>
        <w:spacing w:after="0"/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b/>
          <w:sz w:val="36"/>
          <w:szCs w:val="28"/>
        </w:rPr>
        <w:t xml:space="preserve">П</w:t>
      </w:r>
      <w:r>
        <w:rPr>
          <w:rFonts w:ascii="Liberation Serif" w:hAnsi="Liberation Serif" w:eastAsia="Liberation Serif" w:cs="Liberation Serif"/>
          <w:b/>
          <w:sz w:val="36"/>
          <w:szCs w:val="28"/>
        </w:rPr>
        <w:t xml:space="preserve"> О С Т А Н О В Л Е Н И Е</w:t>
      </w:r>
      <w:r>
        <w:rPr>
          <w:rFonts w:ascii="Liberation Serif" w:hAnsi="Liberation Serif" w:eastAsia="Liberation Serif" w:cs="Liberation Serif"/>
        </w:rPr>
      </w:r>
    </w:p>
    <w:p>
      <w:pPr>
        <w:spacing w:after="0"/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</w:rPr>
      </w:r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sz w:val="24"/>
        </w:rPr>
        <w:t xml:space="preserve">22</w:t>
      </w:r>
      <w:r>
        <w:rPr>
          <w:rFonts w:ascii="Liberation Serif" w:hAnsi="Liberation Serif" w:eastAsia="Liberation Serif" w:cs="Liberation Serif"/>
          <w:sz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</w:rPr>
        <w:t xml:space="preserve">декабря</w:t>
      </w:r>
      <w:r>
        <w:rPr>
          <w:rFonts w:ascii="Liberation Serif" w:hAnsi="Liberation Serif" w:eastAsia="Liberation Serif" w:cs="Liberation Serif"/>
          <w:sz w:val="24"/>
        </w:rPr>
        <w:t xml:space="preserve"> 202</w:t>
      </w:r>
      <w:r>
        <w:rPr>
          <w:rFonts w:ascii="Liberation Serif" w:hAnsi="Liberation Serif" w:eastAsia="Liberation Serif" w:cs="Liberation Serif"/>
          <w:sz w:val="24"/>
        </w:rPr>
        <w:t xml:space="preserve">2</w:t>
      </w:r>
      <w:r>
        <w:rPr>
          <w:rFonts w:ascii="Liberation Serif" w:hAnsi="Liberation Serif" w:eastAsia="Liberation Serif" w:cs="Liberation Serif"/>
          <w:sz w:val="24"/>
        </w:rPr>
        <w:t xml:space="preserve"> г</w:t>
      </w:r>
      <w:r>
        <w:rPr>
          <w:rFonts w:ascii="Liberation Serif" w:hAnsi="Liberation Serif" w:eastAsia="Liberation Serif" w:cs="Liberation Serif"/>
          <w:sz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  <w:tab/>
      </w:r>
      <w:r>
        <w:rPr>
          <w:rFonts w:ascii="Liberation Serif" w:hAnsi="Liberation Serif" w:eastAsia="Liberation Serif" w:cs="Liberation Serif"/>
          <w:sz w:val="24"/>
        </w:rPr>
        <w:tab/>
      </w:r>
      <w:r>
        <w:rPr>
          <w:rFonts w:ascii="Liberation Serif" w:hAnsi="Liberation Serif" w:eastAsia="Liberation Serif" w:cs="Liberation Serif"/>
          <w:sz w:val="24"/>
        </w:rPr>
        <w:tab/>
      </w:r>
      <w:r>
        <w:rPr>
          <w:rFonts w:ascii="Liberation Serif" w:hAnsi="Liberation Serif" w:eastAsia="Liberation Serif" w:cs="Liberation Serif"/>
          <w:sz w:val="24"/>
        </w:rPr>
        <w:tab/>
      </w:r>
      <w:r>
        <w:rPr>
          <w:rFonts w:ascii="Liberation Serif" w:hAnsi="Liberation Serif" w:eastAsia="Liberation Serif" w:cs="Liberation Serif"/>
          <w:sz w:val="24"/>
        </w:rPr>
        <w:tab/>
      </w:r>
      <w:r>
        <w:rPr>
          <w:rFonts w:ascii="Liberation Serif" w:hAnsi="Liberation Serif" w:eastAsia="Liberation Serif" w:cs="Liberation Serif"/>
          <w:sz w:val="24"/>
        </w:rPr>
        <w:tab/>
      </w:r>
      <w:r>
        <w:rPr>
          <w:rFonts w:ascii="Liberation Serif" w:hAnsi="Liberation Serif" w:eastAsia="Liberation Serif" w:cs="Liberation Serif"/>
          <w:sz w:val="24"/>
        </w:rPr>
        <w:tab/>
      </w:r>
      <w:r>
        <w:rPr>
          <w:rFonts w:ascii="Liberation Serif" w:hAnsi="Liberation Serif" w:eastAsia="Liberation Serif" w:cs="Liberation Serif"/>
          <w:sz w:val="24"/>
        </w:rPr>
        <w:tab/>
      </w:r>
      <w:r>
        <w:rPr>
          <w:rFonts w:ascii="Liberation Serif" w:hAnsi="Liberation Serif" w:eastAsia="Liberation Serif" w:cs="Liberation Serif"/>
          <w:sz w:val="24"/>
        </w:rPr>
        <w:t xml:space="preserve"> </w:t>
        <w:tab/>
        <w:tab/>
        <w:t xml:space="preserve">№</w:t>
      </w:r>
      <w:r>
        <w:rPr>
          <w:rFonts w:ascii="Liberation Serif" w:hAnsi="Liberation Serif" w:eastAsia="Liberation Serif" w:cs="Liberation Serif"/>
          <w:sz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</w:rPr>
        <w:t xml:space="preserve">8</w:t>
      </w:r>
      <w:r>
        <w:rPr>
          <w:rFonts w:ascii="Liberation Serif" w:hAnsi="Liberation Serif" w:eastAsia="Liberation Serif" w:cs="Liberation Serif"/>
          <w:sz w:val="24"/>
        </w:rPr>
        <w:t xml:space="preserve">06</w:t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sz w:val="24"/>
        </w:rPr>
        <w:t xml:space="preserve">с. Аксарка</w:t>
      </w:r>
      <w:r>
        <w:rPr>
          <w:rFonts w:ascii="Liberation Serif" w:hAnsi="Liberation Serif" w:eastAsia="Liberation Serif" w:cs="Liberation Serif"/>
        </w:rPr>
      </w:r>
    </w:p>
    <w:p>
      <w:pPr>
        <w:pStyle w:val="1_635"/>
        <w:keepNext w:val="0"/>
        <w:keepLines w:val="0"/>
        <w:pageBreakBefore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000000"/>
        <w:spacing w:before="0" w:after="0" w:line="240" w:lineRule="auto"/>
        <w:ind w:firstLine="0"/>
        <w:contextualSpacing w:val="0"/>
        <w:jc w:val="center"/>
        <w:rPr>
          <w:rFonts w:ascii="LiberationSerif" w:hAnsi="LiberationSerif" w:eastAsia="LiberationSerif" w:cs="LiberationSerif"/>
          <w:color w:val="000000"/>
          <w:highlight w:val="none"/>
          <w:lang w:val="ru-RU"/>
        </w:rPr>
      </w:pPr>
      <w:r>
        <w:rPr>
          <w:rFonts w:ascii="LiberationSerif" w:hAnsi="LiberationSerif" w:eastAsia="LiberationSerif" w:cs="LiberationSerif"/>
          <w:b/>
          <w:i w:val="0"/>
          <w:caps w:val="0"/>
          <w:smallCaps w:val="0"/>
          <w:color w:val="000000"/>
          <w:spacing w:val="0"/>
          <w:position w:val="0"/>
          <w:sz w:val="24"/>
          <w:highlight w:val="none"/>
          <w:lang w:val="ru-RU"/>
        </w:rPr>
      </w:r>
      <w:r>
        <w:rPr>
          <w:rFonts w:ascii="LiberationSerif" w:hAnsi="LiberationSerif" w:eastAsia="LiberationSerif" w:cs="LiberationSerif"/>
          <w:b/>
          <w:i w:val="0"/>
          <w:caps w:val="0"/>
          <w:smallCaps w:val="0"/>
          <w:color w:val="000000"/>
          <w:spacing w:val="0"/>
          <w:position w:val="0"/>
          <w:sz w:val="24"/>
          <w:highlight w:val="none"/>
          <w:lang w:val="ru-RU"/>
        </w:rPr>
      </w: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spacing w:after="0" w:line="240" w:lineRule="auto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</w:rPr>
      </w:r>
      <w:bookmarkStart w:id="0" w:name="_GoBack"/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Об организации похоронного дела на территории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муниципального округа Приуральский район Ямало-Ненецкого автономного округа</w:t>
      </w:r>
      <w:bookmarkEnd w:id="0"/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 соответствии с пунктом 23 статьи 16 Федерального закона от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0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6 октября 2003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законом от 12 января 1996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8-ФЗ «О погребении и похоронном деле», Уставом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 Приуральский район Ямало-Ненецкого автономного округа,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Администрация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br/>
        <w:t xml:space="preserve">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т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а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л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я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е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т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pStyle w:val="817"/>
        <w:numPr>
          <w:numId w:val="1"/>
          <w:ilvl w:val="0"/>
        </w:numPr>
        <w:spacing w:after="0" w:line="240" w:lineRule="auto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Утвердить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: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pStyle w:val="817"/>
        <w:numPr>
          <w:numId w:val="1"/>
          <w:ilvl w:val="1"/>
        </w:numPr>
        <w:spacing w:after="0" w:line="240" w:lineRule="auto"/>
        <w:ind w:left="0"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оложение об организации похоронного дела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 Приуральский район Ямало-Ненецкого автономного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согласно приложению №1;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1.2. п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оложение о порядке деятельности специализированной службы по вопросам похоронного дела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 Приуральский район Ямало-Ненецкого автономного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согласно приложению №2.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Возложить функции специализированной службы по вопросам похоронного дела в муниципальном округе Приуральский район Ямало-Ненецкого автономного округа на муниципальное унитарное предприятие «Районная</w:t>
      </w:r>
      <w:r>
        <w:rPr>
          <w:rFonts w:ascii="Liberation Serif" w:hAnsi="Liberation Serif" w:eastAsia="Liberation Serif" w:cs="Liberation Serif"/>
          <w:sz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инфраструктурная производственно-эксплуатационная компания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муниципального округа Приуральский район Ямало-Ненецкого автономного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Признать утратившими силу: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постановление Администрации муниципального образования Аксарковское от 04 мая 2009 года №41 «Об утверждении Положения об организации ритуальных услуг и содержания мест захоронения на территории муниципального образования Аксарковское»;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постановление Администрации муниципального образования Белоярское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от 28 апреля 2009 года № 16 «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Об утверждении положения 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б организации ритуальных услуг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 содержании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мест захоронения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образования Белоярское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»;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постановление Администрации муниципального образования Катравож от 01 июня 2017 года №55 «Об утверждении положения об организации ритуальных услуг и содержания мест захоронения в муниципальном образовании село Катравож».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4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Настоящее постановление вступает в силу с 01 января 2023 года.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5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Опубликовать настоящее постановление в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газете «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» 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разместить на официальном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Интернет-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сайте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Администрации 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Контроль за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исполнением настоящего постановления возложить </w:t>
      </w:r>
      <w:r>
        <w:rPr>
          <w:rFonts w:ascii="Liberation Serif" w:hAnsi="Liberation Serif" w:eastAsia="Liberation Serif" w:cs="Liberation Serif"/>
          <w:sz w:val="24"/>
        </w:rPr>
        <w:t xml:space="preserve">на заместителя Главы Администрации Приуральского района по жилищно-коммунальному комплексу</w:t>
      </w:r>
      <w:r>
        <w:rPr>
          <w:rFonts w:ascii="Liberation Serif" w:hAnsi="Liberation Serif" w:eastAsia="Liberation Serif" w:cs="Liberation Serif"/>
          <w:sz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jc w:val="both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Глава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                                                         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        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     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     И.И.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Сакал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hd w:val="nil" w:color="auto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br w:type="page" w:clear="all"/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Приложение № 1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Утверждено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постановлени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Администрации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от «22» декабря 2022 года № 806</w:t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Положение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об организации похоронного дела на территории муниципального округа Приуральский район Ямало-Ненецкого автономного округа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val="en-US"/>
        </w:rPr>
        <w:t xml:space="preserve">I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Общие положения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1.1.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Настоящее Положение разработано в соответствии с Градостроительным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кодексом Российской Федерации,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Земельным кодекс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Российской Федерации, Федеральным законом от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0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6 октября 2003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 (далее - Федеральный закон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131-ФЗ), Федеральным законом от 12 января 1996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8-ФЗ «О погребении и похоронном деле» (далее - Федеральный закон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8-ФЗ), Федеральным законом от 30 марта 1999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52-ФЗ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«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 санитарно-эпидемиологическом благополучии населения», Законом Российской Федерации от 07 февраля 1992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2300-1 «О защите прав потребителей», Указом Президента Российской Федерации от 29 июня 1996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1001 «О гарантиях прав граждан на предоставление услуг по погребению умерших», Уставом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 Приуральский район Ямало-Ненецкого автономного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иными нормативно-правовыми актами в сфере погребения и похоронного дела.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1.2.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Настоящее Положение об организации похоронного дела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 Приуральский район Ямало-Ненецкого автономного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(далее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–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Положение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муниципальный округ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) определяет порядок организации похоронного обслуживания, оказания ритуальных услуг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содержания и работы общ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ественных кладбищ (далее - место погребения), подлежит обязательному исполнению организациями всех форм собственности и индивидуальными предпринимателями, осуществляющими деятельность без образования юридического лица, а также иными лицами, осуществляющими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ритуальное обслуживание населения.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1.3. Организация похоронного дела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осуществляется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структурным подразделением и территориальными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орган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Администраци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( дале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е-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уполномоченный орган)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 территории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населенных пунктов село Аксарка, поселок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Вылпосл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поселок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Горнокнязевск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поселок Зеленый Яр, поселок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Товопогол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село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Харсаим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поселок Чапаевск, поселок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Ямбур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-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департаментом жилищно-коммунального комплекса Администрации Приуральского района;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населенных пунктов село Белоярск, поселок Щучье, деревня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Лаборова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я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-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Администрацией села Белоярск Администрации Приуральского района;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 территории населенного пункта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село Катраво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ж-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Администрацией села Катравож Администрации 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val="en-US"/>
        </w:rPr>
        <w:t xml:space="preserve">II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Волеизъявление лица о достойном отношении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к его телу после смерти и исполнение (исполнители)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волеизъявления умершего о погребении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2.1.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ка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ждому человеку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 в соответствии с действующим законодательством Российской Федерации, настоящим Положением.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2.2. Волеизъявление лица о достойном отношении к его телу после смерти (далее - волеизъявление умершего) - пожелание, выраженное в устной форме в присутствии свидетелей или в письменной форме: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о согласии или несогласии быть подвергнутым патологоанатомическому вскрытию;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о согласии или несогласии на изъятие органов и (или) тканей из его тела;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быть погребенным на том или ином месте, по тем или иным обычаям или традициям, рядом с теми или иными ранее умершими;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быть подвергнутым кремации;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о доверии исполнить свое волеизъявление тому или иному лицу.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2.3. Действия по достойном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 отношению к телу умершего должны осуществляться в полном соответствии с волеизъявлением умершего, если не возникли обстоятельства, при которых исполнение волеизъявления умершего невозможно, либо иное не установлено законодательством Российской Федерации.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2.4.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 случае отсутствия волеизъявления умершего право на разрешение действий, указанных в пункте 2.2 настоящего положения, имеют супруг, близкие родственники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- иные лица, взявшие на себя обязанность осуществить погребение умершего.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2.5. Исполнителями волеизъявления умершего являются лица, указанные в его волеизъявлении, при их согласии взять на себя обязанность исполнить волеизъявление умершего. В случае отсутствия 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супругом, близкими родственниками, иными родственниками либо законным представителем умершего. В случае мотиви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рованного отказа кого-либо из указанных лиц от исполнения волеизъявления умершего оно может быть исполнено иным лицом, взявшим на себя обязанность осуществить погребение умершего, либо осуществляется специализированной службой по вопросам похоронного дела.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2.6.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Исполнение волеизъявления умершего 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 иных случаях возможность исполнения волеизъявления умершего о погребении его тела (останков) или праха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val="en-US"/>
        </w:rPr>
        <w:t xml:space="preserve">III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Гарантии при осуществлении погребения умершего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3.1.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Супругу, близким родственникам, иным родственникам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законному представителю умершего или иному лицу, взявшему на себя обязанность осуществить погребение умершего, гарантируются: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а) бесплатное оформление и выдача документов, необходимых для погребения умершего, в течение суток с момента установления причины смерти;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 случаях, 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сли для установления причины смерти возникли основания для помещения тела умершего в морг, выдача тела умершего по требованию супруга, близких родственников, иных родственников, законного представителя умершего или иного лица, взявшего на себя обязанность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осуществить погребение умершего, не может быть задержана на срок более двух суток с момента установления причины смерти;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б) предоставление возможности нах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ождения тела умершего в морге бесплатно до семи суток с момента установления причины смерти в случае, если супруг, близкие родственники, иные родственники, законный представитель умершего или иное лицо, взявшее на себя обязанность осуществить погребение ум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ершего, извещены о смерти, но существуют обстоятельства, затрудняющие осуществление ими погребения; в случае поиска супруга, близких родственников, иных родственников либо законного представителя умершего этот срок может быть увеличен до четырнадцати дней;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в) оказание содействия в решении вопроса о погребении тела (останков) умершего или праха на указанном им месте погребения в случае его смерти в ином населенном пункте или на территор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ии иностранного государства, в получении в установленные законодательством Российской Федерации сроки справки о смерти, разрешения на перевозку тела (останков) умершего, а также проездных документов, включая документы на пересечение государственных границ;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г) исполнение волеизъявления умершего в соответствии со статьями 5 и 7 Федерального закона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8-ФЗ.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3.2.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причины смерти, если иное не предусмотрено законодательством Российской Федерации с согласия указанных органов путем предания земле на определенных для таких случаев участках общественных кладбищ.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val="en-US"/>
        </w:rPr>
        <w:t xml:space="preserve">IV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Гарантированный перечень услуг по погребению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4.1. Супругу, близким родственник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перечня услуг по погребению, установленного пунктом 1 статьи 9 Федерального закона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8-ФЗ и включает: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оформление документов, необходимых для погребения;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б)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предоставление и доставка гроба и других предметов, необходимых для погребения;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перевозка тела (останков) умершего на кладбище;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г)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погребение.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4.2.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Услуги, оказываемые специализированной службой по вопросам похоронного дела при погребении умерших, личность которых не установлена органами внутренних дел в определенные законодательством Российской Федерации сроки, или в отсутстви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умершего на дому, на улице или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 ином месте после установления органами внутренних дел его личности, устанавливаются пунктом 3 статьи 12 Федерального закона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8-ФЗ и включает: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оформление документов, необходимых для погребения;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б)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облачение тела;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предоставление гроба;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г)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перевозка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тела (останков)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умершего на кладбище;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д)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погребение.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Стоимость гарантированного перечня услуг по погребению определяется органами местного самоуправления и возмещается в порядке, предусмотренном пунктом 3 статьи 9 Федерального закона № 8-ФЗ.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4.3. Оплата стоимости услуг, пре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доставляемых сверх гарантированного перечня услуг по погребению,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4.4. Качество оказываемых специализированной службой услуг по погребению, предоставляемых согласно гарантированному перечню, должно соответствовать установленным Администрацией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требованиям.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val="en-US"/>
        </w:rPr>
        <w:t xml:space="preserve">V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Выплата социального пособия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5.1.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 соответствии с Федеральным законом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8-ФЗ выплата социального пособия на погребение умершего супругу, близким родст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венникам, иным родственникам, законным представителям, иным лицам, взявшим на себя обязанность осуществить погребение и не получившим услуги согласно гарантированному перечню услуг по погребению, производится в день обращения на основании справки о смерти: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органом, в котором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умерший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получал пенсию;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б)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организацией (иным работодателем), которая являлась страхователем по обязательному социальному страхованию на случай 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ременной нетрудоспособности и в связи с материнством по отношению к умершему на день смерти либо по отношению к одному из родителей (иному законному представителю) или иному члену семьи умершего несовершеннолетнего на день смерти этого несовершеннолетнего;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органом социальной защиты населения по месту жи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тельства,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г)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территориальным органом Фонда социального страхования Российской Федерации, в ко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тором был зарегистрирован в качестве страхователя умерший на день смерти либо зарегистрирован в качестве страхователя один из родителей (иной законный представитель) или иной член семьи умершего несовершеннолетнего на день смерти этого несовершеннолетнего.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5.2 Социальное пособие на погребение выплачивается, если обращение за ним последовало не позднее шести месяцев со дня смерти.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val="en-US"/>
        </w:rPr>
        <w:t xml:space="preserve">VI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Порядок погребения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6.1. Погребение тел (останков) умерших проводится в целях обеспечения санитарно-эпидемиологического и социального благополучия населения, сохранения физического и психического здоровья, поддержания нормального функционирования поселений.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6.2. Погребение тел (останков) умерших производится в соответствии с санитарными правилами, по предъявлении свидетельства о смерти.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6.3.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Погребение тела (останков) умершего,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суток с момента установления причины смерти, если иное не предусмотрено законодательством Российской Федерации.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6.4. Отвод мест под погребение производится специализированной службой по вопросам похоронного дела, подтверждается разрешением на погребение.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Отвод места для погребения и подготовка могилы производится, накануне дня погребения. Присутствие заказчика при этом необязательно. Пропуски в рядности погребения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категорически запрещаются. Учитывая климатические условия, специализированная служба по вопросам похоронного дела может подготавливать места под погребение заранее.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6.5. Отвод мест под погребение на полузакрытых кладбищах, внутри старых участков производится комиссионно.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Окончательное решение комиссия принимает после исследования предполагаемого места под погребение на предмет старых захоронений, наличия зеленых насаждений, состояния грунтовых вод и т.д.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Порядок работы и состав комиссии утверждается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приказом уполномоченного органа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6.6. Для погребения тела (останков) умершего бесплатно предоставляется участок земли, определенный специализированной службой по вопросам похоронного дела.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Разрешение на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подзахоронение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к близким родственникам производится по письменному заявлению супруга умершего, близких или иных родств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енников специализированной службой по вопросам похоронного дела. Выход на место погребения для составления заключения о состоянии могилы ранее погребенного производится должностным лицом, назначаемым специализированной службой по вопросам похоронного дела.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 зависимости от времени года и перечня работ тарифы на услуги по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подзахоронению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умерших утверждаются постановлением Администрации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Супруг, близкие или иные родственники вправе самостоятельно (за свой счет и своими силами или с привлечением иных граждан, организаций) произвести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подзахоронение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 обязательным присутствием представителя специализированной службы по вопросам похоронного дела, следящего за правилами захоронения и уборки соответствующей территории.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Подзахоронение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разрешается специализированной службой по вопросам похоронного дела при наличии у заказчика, оформляющего похороны, копии свидетельства о смерти на ранее погребенного, документов, подтверждающих близкое родство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между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умершими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волеизъявлени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умершего.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Погребение рядом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ранее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умершим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гарантируется при наличии на предполагаемом месте погребения свободного участка, а также при соблюдении гигиенических требований к размещению.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Предоставление земельного участка для размещения места погребения осуществляется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департаментом имущественных отношений Администрации 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9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Земельные участки под погребение тела в гробу на общественных кладбищах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должны иметь следующие размеры: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–</w:t>
      </w:r>
      <w:r>
        <w:rPr>
          <w:rFonts w:ascii="Liberation Serif" w:hAnsi="Liberation Serif" w:eastAsia="Liberation Serif" w:cs="Liberation Serif"/>
          <w:sz w:val="24"/>
          <w:szCs w:val="24"/>
        </w:rPr>
        <w:tab/>
        <w:t xml:space="preserve">на кладбищах, свободных д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ля захоронения – 1,8*2,3 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–</w:t>
      </w:r>
      <w:r>
        <w:rPr>
          <w:rFonts w:ascii="Liberation Serif" w:hAnsi="Liberation Serif" w:eastAsia="Liberation Serif" w:cs="Liberation Serif"/>
          <w:sz w:val="24"/>
          <w:szCs w:val="24"/>
        </w:rPr>
        <w:tab/>
        <w:t xml:space="preserve">на участках кладбищ, на которых произведены погребения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–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1,0*2,0 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10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При погребении и подготовке могил соблюдается рядность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захоронений на расстоянии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1,0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метра по длинной стороне 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0,5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метра по короткой ст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ороне могилы. Надмогильный холм устанавливается высотой не менее 0,5 метра.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При погребении умершего на каждом могильном х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олме или надмогильном сооружении (кроме креста, памятника, надгробия и т.д.) устанавливается табличка с инвентарным номером. Данный номер заносится в книгу регистрации погребений с указанием номера свидетельства о смерти, участка погребения (карты) и т.д.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Книга погребений по истечении года сдается в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архив специализированной службы по вопросам похоронного дела и хранится бессрочно. Одновременно производится регистрация погребений в электронном виде. Ответственность за регистрацию погребений несет специализированная служба по вопросам похоронного дела.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Погребение невостребованных умерших (погибших) производ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ится в отдельные могилы. Каждое тело укладывается в отдельный гроб, на котором на наружной стороне выжигается номер, на внутренней стороне (в ногах) прибивается дублирующий металлический номер. Составляется акт о погребении и подробная схема погребения на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основании списков судебно-медицинской экспертизы и патологоанатомического отделения. Погребение осуществляется в присутствии работника специализированной службы по вопросам похоронного дела.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3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В целях предотвращения распространения особо опасных инфекционных заболеваний процесс погребения умерших от инфекции неяс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ной этиологии, а также от особо опасных инфекций (умерших в лечебных учреждениях или поступивших в патологоанатомические отделения для вскрытия) совершается в оцинкованных, герметически запаянных гробах непосредственно из патологоанатомического отделения.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val="en-US"/>
        </w:rPr>
        <w:t xml:space="preserve">VII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Эксгумация (перезахоронение)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7.1. Эксгумация (перезахоронение) останков умершего (погибшего) может производиться по желанию (согласованию) супруга и близких родственников либо на основании решения суда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прошествии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не менее одного года с момента погребения.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7.2. Для проведения эксгумации (перезахоронения) супруг (супруга), близкие родственники представляют в специализированную службу по вопросам похоронного дела в обязательном порядке следующие документы: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санитарно-эпидемиологическое заключение об отсутствии особо опасных инфекционных заболеваний;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б)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свидетельство о смерти;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заявление установленного образца с согласием близких родственников умершего.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7.3. По требованию правоохранительных органов эксгумация (перезахоронение) производится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 основании постановления этих органов об эксгумации (перезахоронении). При наличии возражений близких родственников или родственников покойного эксгумация (перезахоронение) производится на основании решения суда о проведении эксгумации (перезахоронении).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7.4. Эксгумация (перезахоронение) производится в дневное время, в рабочие дни недели.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val="en-US"/>
        </w:rPr>
        <w:t xml:space="preserve">VIII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Порядок содержания мест погребения и деятельности общественных кладбищ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8.1. Выбор земельного участка для размещения места погребения осуществляется в соответствии с правилами землепользования и застройки.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8.2.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Участок, отводимый под кладбище, должен соответствовать треб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ованиям, установленным в пункте 50, 51, 52 и 54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Российской Федерации от 28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января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2021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года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38.3.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8.3.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Территория кладбища разделяется 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кварталы (иное территориальное деление) с указателями номеров. При главном входе на кладбище вывешивается его схематический план с обозначением административных зданий, кварталов, дорожек, исторических и мемориальных могил, мест общественного пользования.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8.4. Размер земельного участка для погребения умершего должен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быть не менее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3,0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квадратных метров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Возможен отвод земельного участка для двух и более погребений.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 пределах отведенного земельного участка после погребения могут устанавливаться надгробные сооружения в соответствии с утвержденными размерами в порядке, определенном настоящим Положением.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8.5. Создаваемые и существующие места погребения не подлежат сносу и могут быть перенесены только по решению Администрации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оформленным правовым актом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8.6. Использован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8.7. Решение об использовании закрытого кладбища для вторичного погребения по истечении двадцатилетнего срока принимается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правовым актом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Администраци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 соответствии с законодательством Российской Федерации и санитарно-эпидемиологическим заключением.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8.8. Специализированная служба по вопросам похоронного дела вправе заключать договоры с юридическими и физическими лицами на проведение отдельных работ по погребению умерших, устройству и содержанию мест погребений.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8.9.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Содержание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благоустройство общественных кладбищ и прилегающих к ним территорий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произво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дится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уполномоченными органами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за счет средств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бюджета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муниципального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путем заключения муниципальных контрактов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8.10. Установка памятников, надмогильных и мемориальных сооружений на кладбищах допускается только в границах участков погребений. На иных участках установка памятников, стен, мемориальных досок, других памятных знаков и надмогильных сооружений запрещена.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Устанавливаемые памятники и сооружения не должны иметь част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ей, выступающих за границы участка погребения или нависающих над ними. В случаях нарушения этого порядка специализированная служба по вопросам похоронного дела извещает лицо, на которое зарегистрировано погребение, о необходимости устранения нарушения в оп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ределенные сроки. Если эти нарушения не устранены в определенные сроки, то сооружения, установленные за пределами отведенного участка погребения, подлежат сносу специализированной службой по вопросам похоронного дела за счет лица, установившего сооружение.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Надмогильные сооружения устанавливаются (заменяются) только по согласованию со специализированной службой по вопросам похоронного дела и регистрируются в книге регистрации установки надгробий.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 книге регистрации установки надгробий указываются квартал, сектор и номер могилы, фамилия, имя и отчество погребенного, дата установки, габа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ритные размеры и материал памятника, надгробного или иного сооружения и документ от изготовителя памятника, номер и дата договора о принятии надгробия на сохранность (при наличии), адрес и фамилия заказчика, а также ответственного за содержание погребения.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Книга регистрации установки надгробий ведется и хранится специализированной службой по вопросам похоронного дела.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8.11.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Надмогильные сооружения (памятники, ограды, цветники, цоколи и т.д.), установленные гражданами (организациями) в соответствии с требованиями настоящих правил, являются их собственностью.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8.12. Установка надмогильных сооружений с надписями или нанесение на имеющиеся надмогильные сооружения надписей, не соответствующих действительным сведениям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погребенных, не допускается.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8.13. Гражд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ане или юридические лица обязаны содержать установленные ими надмогильные сооружения и зеленые насаждения (оформленный могильный холм, памятник, цоколь, цветник, необходимые сведения о захоронении) в надлежащем состоянии собственными силами и за свой счет.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4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Кладбища муниципального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открыты для свободного посещения гражданами. Время работы кладбищ устанавливается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 09.00 до 18 час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жедневно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Захоронение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умерших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производится с 10.00 до 17.00 час.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5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На территории кладбища посетители должны соблюдать общественный порядок и тишину, а также правила пожарной безопасности.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6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Посетители кладбищ имеют право: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устанавливать памятники, надгробные и иные сооружения в соответствии с требованиями к оформлению участка погребения;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б)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сажать цветы на могильном участке;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беспрепятственно проезжать на территорию кладбища в случаях установки (замены) памятников, надмогильных и иных сооружений (ограды, цветники, цоколи, стелы и т.д.).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На территории кладбищ посетителям запрещается: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портить памятники, надгробные и иные сооружения, оборудование кладбища, засорять территорию;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б)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ломать насаждения, рвать цветы;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выгуливать собак, пасти домашних животных, ловить птиц;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г)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разводить костры, добывать песок и глину, резать дерн;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д)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находиться на территории кладбищ после их закрытия;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е)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устанавливать, переделывать и снимать памятники, мемориальные доски и другие надмогильные сооружения без разрешения специализированной службы по вопросам похоронного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дела;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ж)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кататься на лыжах, санях, велосипедах, мопедах, мотороллерах, мотоциклах;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з)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въезжать на территорию кладбища на автотранспорте (за исключением инвалидов 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пенсионеров по старости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);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и)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распивать спиртные напитки и находиться в нетрезвом состоянии;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к)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оставлять запасы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роительных и иных материалов;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л) производить какие-либо работы и осуществлять торговлю предметами похоронного ритуала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цветами, материалами по благоустройству могил без разрешения специализированной службы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 вопросам похоронного дела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Надругательство над телами умерших либо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уничтожение, повреждение или осквернение мест погребения, надмогильных сооружений или кладбищенских зданий, предназначенных для церемоний в связи с погребением умерших или их поминовением, влечет ответственность в порядке, установленном законодательством.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19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Катафалк имеет право проезда до места погребения. Проезд сопровождающего транспорта, образующего похоронную процессию, на терр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торию кладбища не допускается.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8.2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0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На территории кладбища допускается торговля предметами похоронного назначения при наличии разрешения, выданного специализированной службой по вопросам похоронного дела.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val="en-US"/>
        </w:rPr>
        <w:t xml:space="preserve">IX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Транспортировка тела (останков) и праха умерших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9.1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Транспортировка тела (останков) и праха умерших включает в себя перевозку тела (останков) умерших в места установления причин смерти (вскрытия) и/или хранения (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предпохоронного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содержания), транспортирование тела (останков) и прахов умерших  в другие города, государства, репатриация тела (останков) и праха умерших.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9.2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Транспортировка тел (останков) умерших в места проведения судебно-медицинского исследования осуществляется в соответствии с Пор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ядком организации и производства судебно-медицинских экспертиз в государственных судебно-экспертных учреждениях Российской Федерации, утвержденным приказом Министерства здравоохранения и социального развития Российской Федерации от 12 мая 2010 года №346 н.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9.3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Транспортировка тел (останков) умерших в места проведения патологоанатомического исследования осуществляется в соответствии с Порядком проведения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патолого-анатомических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вскрытий, утвержденным приказом Министерства здравоохранения Российской Федерации от 06 июня 2013 года № 354 н.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6096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риложение № 2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6096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6096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Утверждено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6096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постановлени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ем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Администрации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6096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6096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от ____________2022 года № ____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Положение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 порядке деятельности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специализированной службы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по вопросам похоронного дела на территории муниципального округа Приуральский район Ямало-Ненецкого автономного округа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I. Общие положения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Настоящее Положение разработано в соответствии с Федеральным законом от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0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6 октября 2003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законом от 12 января 1996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8-ФЗ «О погребении и похоронном деле», Федеральным законом от 30 марта 1999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52-ФЗ «О санитарно-эпидемиологическом благополучии населения», Законом Российской Федерации от 07 февраля 1992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2300-1 «О защите прав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потребителей», Указом Президента Российской Федерации от 29 июня 1996 года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1001 «О гарантиях прав граждан на предоставление услуг по погребению умерших», иными нормативными правовыми актами в сфере погребения и похоронного дела.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2. Настоящее Положение устанавливает порядок создания и деятельности специализированной службы по вопросам похоронного дела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 Приуральский район Ямало-Ненецкого автономного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(далее - специализированная служба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муниципальный округ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).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3. Непосредственное предоставление ритуальных услуг, реализация похоронных принадлежностей производится специализированной службой и иными хозяйствующими субъектами (юридическими, физическими лицами), осуществляющими деятельность в данной сфере.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II. Порядок создания специализированной службы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2.1.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пециализированная служба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создается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 организационно-правовой форме, предусмотренной федеральным законодательством, на которую возлагается обязанность по осуществлению погребения умерших и оказанию сопутствующих ритуальных услуг.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2.2.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Специализированной службой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является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муниципальное унитарное предприятие «Районная</w:t>
      </w:r>
      <w:r>
        <w:rPr>
          <w:rFonts w:ascii="Liberation Serif" w:hAnsi="Liberation Serif" w:eastAsia="Liberation Serif" w:cs="Liberation Serif"/>
          <w:sz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инфраструктурная производственно-эксплуатационная компания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муниципального округа Приуральский район Ямало-Ненецкого автономного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(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сокращенное наименование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МУП «РИПЭК»)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Адрес местонахождения: Ямало-Ненецкий автономный округ, Приуральский район,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ксарка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ул.Новая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д.18А.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2.3.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На специализированную службу возлагаются обязанности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предоставлению гарантированного перечня услуг по погребению умерших;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оказанию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сопутствующих ритуальных услуг.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color w:val="ff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ff0000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III. Порядок деятельности специализированной службы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3.1.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Для осуществления деятельности специализированная служба должна иметь: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на праве собственности, аренды или другом законном основании специально оборудованные помещения, обеспечивающие в соответст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вии с требованиями действующих нормативных правовых актов Российской Федерации надлежащие условия для приема заказов на оказание услуг по погребению и иных ритуальных услуг, а также возможность выбора потребителем (заказчиком) оказываемых ритуальных услуг;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вывеску с указанием фирменного наименования (наименования) своей организации, место ее нахождения (адрес), режим работы;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необходимое для оказания ритуальных услуг технологическое оборудование, транспорт, инструменты, специальный инвентарь и т.д.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3.2.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Специализированная служба в удобном и доступном для обозрения месте должна разместить: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гарантированный перечень услуг по погребению и порядок их предоставления;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требования к качеству услуг, входящих в гарантированный перечень услуг по погребению;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цену в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рублях и условия приобретения товаров (работ, услуг), в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4)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сроки оказания услуг (выполнения работ);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5)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образцы договоров (квитанций, иных документов) об оказании услуг (выполнении работ);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6)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образцы (модели) изготавливаемых изделий либо их эскизы;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7)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время работы кладбища и порядок его содержания;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8)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Закон Российской Федерации от 07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февраля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1992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года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№ 2300-1 «О защите прав потребителей», Правила бытового обслуживания населения.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3.3.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Специализированная служба обязана иметь книгу отзывов и предложений, которая хранится в общедоступном месте и предоставляется потребителю по его требованию.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3.4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Специализированная служба обязана предоставлять лицу, взявшему на себя обязанность осуществить погребение умершего, гарантированный перечень услуг по погребению, оказываемый на безвозмездной основе, в установленном порядке.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 случае отказа заказчика от указанного права ритуальные услуги предоставляются на платной основе по свободным ценам (тарифам), устанавливаемым специализированной службой.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3.5.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Гарантиро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ванный перечень услуг по погребению на безвозмездной основе предоставляется специализированной службой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6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Гарантированный перечень услуг по погребению на безвозмездной основе включает в себя: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1) оформление документов, необходимых для погребения;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2) предоставление и доставку гроба и других предметов, необходимых для погребения;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3) перевозку тела (останков) умершего на кладбище;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4) погребение.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Качество оказываемых специализированной службой услуг по погребению, предоставляемых согласно гарантированному перечню, должно соответствовать требованиям, установленным Администрацией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(согласно приложению к настоящему Положению).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Стоимость услуг по гарантированному перечню, предоставляемых специализированной службой, определяется муниципальным правовым актом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Администрации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 согласованию с соответствующими отделениями Пенсионного фонда Российской Федерации и Фонда социального страхования Российской Федерации, Департаментом социальной защиты населения Ямало-Ненецкого автономного округа.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возмещается специализированной службе за счет средств местного бюджета в размере разницы между утвержденной муниципальным правовым актом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Администрации 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стоимостью услуг, предоставляемых безвозмездно согласно гарантированному перечню, и возмещенной стоимостью услуг, предоставляемых безвозмездно согласно гарантированному перечню, за счет средств: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Пенсионного фонда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федерального бюджета - на погребение умерших, не подлежавших обязательному социальному страхованию на случай временной нетрудоспособности и в связи с материнств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Расчеты со специализированной службой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ению органов службы занятости,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размерах, определяемых в соответствии с настоящим пунктом;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Фонда социального страхования Российской Федерации - на погребение умерших граждан, подлежавших обязательному социальному страхованию на случай временной нетруд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окружного бюджета - 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9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 желанию лица, взявшего на себя обязанность осуществить погребение умершего, соответствующими организациями могут быть оказаны иные услуги, связанные с захоронением умершего (ритуальные услуги, услуги патолого-анат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омических бюро, услуги розничной торговли по продаже похоронных принадлежностей и т.д.), не относящиеся к гарантированному перечню услуг по погребению, которые оплачиваются за счет средств лица, взявшего на себя обязанность осуществить погребение умершего.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10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Гражданам, получившим предусмотренные пунктом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3.4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настоящего Порядка услуги, социальное пособие на погребение, предусмотренное федеральным законодательством, не выплачивается.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не предусмотрено законодательством Российской Федерации.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специализированной службой с согласия указанных органов путем предания земле на определенных для таких случаев участках кладбищ.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color w:val="ff0000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3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Специализированные службы могут заключать договоры с юридическими и физическими лицами на проведение отдель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ных работ по погребению умерших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4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Отказ специализированной службы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 оказании гарантированного перечня услуг по погребению в связи с отсутствием у нее необходимых средств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или по другим основаниям не допускается.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5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color w:val="ff0000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6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Проверка деятельности специализированной службы проводится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 распоряжению Администрации Приуральского района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 установленном порядке и сроки.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Специализированные службы должны соблюдать требования, установленные законодательством Российской Федерации в сфере погребения и похоронного дела, правила пожарной безопасности.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За несоблюдение указанных требований к специализированным службам применяются административные наказания и иные меры ответственности в соответствии с законодательством Российской Федерации.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Специализированные службы при осуществлении своей деятельности руководствуются положением об организации похоронного дела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утвержденным постановлением Администрации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Приуральского района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left="5954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к Положению о порядке деятельности специализированной службы по вопросам похоронного дела на территории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 Приуральский район Ямало-Ненецкого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автономного округа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Требования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к качеству услуг, входящих в гарантированный перечень услуг по погребению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1. Гарантированный перечень услуг по погр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ебению на безвозмездной основе предоставляется специализированной службой по вопросам похоронного дела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2. Качество услуг, входящих в гарантированный перечень услуг по погребению, должно соответствовать требованиям: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1) оформление докумен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тов, необходимых для погребения.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2) предоставление и доставка гроба и других предметов, необходимых для погребения: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гроб, обитый хлопчатобумажной тканью;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покрывало хлопчатобумажное;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тапочки;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доставка предметов, необходимых для погребения (в морг или домой) в один адрес, включая погрузочно-разгрузочные работы.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3) перевозка тела (останков) умершего на кладбище: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предоставление транспорта для перевозки гроба с телом умершего из морга или дома к месту захоронения;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вынос закрытого гроба с телом умершего из помещения и установка в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транспорт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перевозка гроба с телом умершего из места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предпохоронного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содержания (дома или морга) до места погребения;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перемещение гроба с телом умершего от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транспорта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до места захоронения;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уборка и дезинфекция транспорта.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4) погребение тела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(останков) умершего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: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расчистка и разметка места захоронения;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рытье могилы с зачисткой вручную либо с использованием механизированных средств и работы по захоронению (забивка крышки гроба, опускание в могилу, засыпка могилы, устройство надмогильного холмика) на отведенном участке;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- предоставление и установка регистрационной таблички с указанием фамилии, имени, отчества, даты рождения и даты смерти умершего, регистрационного номера захоронения.</w:t>
      </w:r>
      <w:r>
        <w:rPr>
          <w:rFonts w:ascii="Liberation Serif" w:hAnsi="Liberation Serif" w:eastAsia="Liberation Serif" w:cs="Liberation Serif"/>
          <w:sz w:val="24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3. Качество предоставляемых ритуальных услуг согласно гарантированному перечню должно соответствовать санитарным, противопожарным нормам и правилам,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техническим условиям 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иным нормативно-правовым актам, действующим на территории Российской Федерации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</w:rPr>
      </w:r>
    </w:p>
    <w:sectPr>
      <w:footnotePr/>
      <w:endnotePr/>
      <w:type w:val="nextPage"/>
      <w:pgSz w:w="11906" w:h="16838" w:orient="portrait"/>
      <w:pgMar w:top="1559" w:right="850" w:bottom="1956" w:left="155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Serif">
    <w:panose1 w:val="02020603050405020304"/>
  </w:font>
  <w:font w:name="TimesNewRoman">
    <w:panose1 w:val="02000603000000000000"/>
  </w:font>
  <w:font w:name="PT Astra Serif">
    <w:panose1 w:val="020A06030405050202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PT Astra Serif" w:hAnsi="PT Astra Serif" w:cs="Liberation Serif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cs="Liberation Serif" w:eastAsiaTheme="minorHAns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3"/>
    <w:next w:val="813"/>
    <w:link w:val="65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/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/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/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/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/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/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/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spacing w:after="57"/>
      <w:ind w:left="0" w:right="0" w:firstLine="0"/>
    </w:pPr>
  </w:style>
  <w:style w:type="paragraph" w:styleId="803">
    <w:name w:val="toc 2"/>
    <w:basedOn w:val="813"/>
    <w:next w:val="813"/>
    <w:uiPriority w:val="39"/>
    <w:unhideWhenUsed/>
    <w:pPr>
      <w:spacing w:after="57"/>
      <w:ind w:left="283" w:right="0" w:firstLine="0"/>
    </w:pPr>
  </w:style>
  <w:style w:type="paragraph" w:styleId="804">
    <w:name w:val="toc 3"/>
    <w:basedOn w:val="813"/>
    <w:next w:val="813"/>
    <w:uiPriority w:val="39"/>
    <w:unhideWhenUsed/>
    <w:pPr>
      <w:spacing w:after="57"/>
      <w:ind w:left="567" w:right="0" w:firstLine="0"/>
    </w:pPr>
  </w:style>
  <w:style w:type="paragraph" w:styleId="805">
    <w:name w:val="toc 4"/>
    <w:basedOn w:val="813"/>
    <w:next w:val="813"/>
    <w:uiPriority w:val="39"/>
    <w:unhideWhenUsed/>
    <w:pPr>
      <w:spacing w:after="57"/>
      <w:ind w:left="850" w:right="0" w:firstLine="0"/>
    </w:pPr>
  </w:style>
  <w:style w:type="paragraph" w:styleId="806">
    <w:name w:val="toc 5"/>
    <w:basedOn w:val="813"/>
    <w:next w:val="813"/>
    <w:uiPriority w:val="39"/>
    <w:unhideWhenUsed/>
    <w:pPr>
      <w:spacing w:after="57"/>
      <w:ind w:left="1134" w:right="0" w:firstLine="0"/>
    </w:pPr>
  </w:style>
  <w:style w:type="paragraph" w:styleId="807">
    <w:name w:val="toc 6"/>
    <w:basedOn w:val="813"/>
    <w:next w:val="813"/>
    <w:uiPriority w:val="39"/>
    <w:unhideWhenUsed/>
    <w:pPr>
      <w:spacing w:after="57"/>
      <w:ind w:left="1417" w:right="0" w:firstLine="0"/>
    </w:pPr>
  </w:style>
  <w:style w:type="paragraph" w:styleId="808">
    <w:name w:val="toc 7"/>
    <w:basedOn w:val="813"/>
    <w:next w:val="813"/>
    <w:uiPriority w:val="39"/>
    <w:unhideWhenUsed/>
    <w:pPr>
      <w:spacing w:after="57"/>
      <w:ind w:left="1701" w:right="0" w:firstLine="0"/>
    </w:pPr>
  </w:style>
  <w:style w:type="paragraph" w:styleId="809">
    <w:name w:val="toc 8"/>
    <w:basedOn w:val="813"/>
    <w:next w:val="813"/>
    <w:uiPriority w:val="39"/>
    <w:unhideWhenUsed/>
    <w:pPr>
      <w:spacing w:after="57"/>
      <w:ind w:left="1984" w:right="0" w:firstLine="0"/>
    </w:pPr>
  </w:style>
  <w:style w:type="paragraph" w:styleId="810">
    <w:name w:val="toc 9"/>
    <w:basedOn w:val="813"/>
    <w:next w:val="813"/>
    <w:uiPriority w:val="39"/>
    <w:unhideWhenUsed/>
    <w:pPr>
      <w:spacing w:after="57"/>
      <w:ind w:left="2268" w:right="0" w:firstLine="0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ind w:left="720"/>
      <w:contextualSpacing/>
    </w:pPr>
  </w:style>
  <w:style w:type="paragraph" w:styleId="1_635">
    <w:name w:val="Без интервала,Без интервала1,письмо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4109488-5C01-4ACD-A3F1-72CAF7AE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Зульфия Хадимовна</dc:creator>
  <cp:keywords/>
  <dc:description/>
  <cp:revision>18</cp:revision>
  <dcterms:created xsi:type="dcterms:W3CDTF">2022-08-26T05:45:00Z</dcterms:created>
  <dcterms:modified xsi:type="dcterms:W3CDTF">2022-12-22T09:12:09Z</dcterms:modified>
</cp:coreProperties>
</file>